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3EBC" w14:textId="77777777" w:rsidR="003C44BF" w:rsidRPr="00084C80" w:rsidRDefault="003C44BF" w:rsidP="003C44BF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84C80">
        <w:rPr>
          <w:rFonts w:ascii="Arial" w:hAnsi="Arial" w:cs="Arial"/>
          <w:sz w:val="22"/>
          <w:szCs w:val="22"/>
        </w:rPr>
        <w:t xml:space="preserve">Section </w:t>
      </w:r>
      <w:r w:rsidR="00C10884" w:rsidRPr="00084C80">
        <w:rPr>
          <w:rFonts w:ascii="Arial" w:hAnsi="Arial" w:cs="Arial"/>
          <w:sz w:val="22"/>
          <w:szCs w:val="22"/>
        </w:rPr>
        <w:t xml:space="preserve">274 </w:t>
      </w:r>
      <w:r w:rsidR="00FD37CD" w:rsidRPr="00084C80">
        <w:rPr>
          <w:rFonts w:ascii="Arial" w:hAnsi="Arial" w:cs="Arial"/>
          <w:sz w:val="22"/>
          <w:szCs w:val="22"/>
        </w:rPr>
        <w:t xml:space="preserve">of </w:t>
      </w:r>
      <w:r w:rsidR="00CB5479" w:rsidRPr="00084C80">
        <w:rPr>
          <w:rFonts w:ascii="Arial" w:hAnsi="Arial" w:cs="Arial"/>
          <w:i/>
          <w:sz w:val="22"/>
          <w:szCs w:val="22"/>
          <w:lang w:val="en-US"/>
        </w:rPr>
        <w:t xml:space="preserve">Crime and Corruption Act 2001 </w:t>
      </w:r>
      <w:r w:rsidR="00CB5479" w:rsidRPr="00084C80">
        <w:rPr>
          <w:rFonts w:ascii="Arial" w:hAnsi="Arial" w:cs="Arial"/>
          <w:sz w:val="22"/>
          <w:szCs w:val="22"/>
          <w:lang w:val="en-US"/>
        </w:rPr>
        <w:t xml:space="preserve">(the Act) </w:t>
      </w:r>
      <w:r w:rsidRPr="00084C80">
        <w:rPr>
          <w:rFonts w:ascii="Arial" w:hAnsi="Arial" w:cs="Arial"/>
          <w:sz w:val="22"/>
          <w:szCs w:val="22"/>
        </w:rPr>
        <w:t xml:space="preserve">establishes the </w:t>
      </w:r>
      <w:r w:rsidR="00C10884" w:rsidRPr="00084C80">
        <w:rPr>
          <w:rFonts w:ascii="Arial" w:hAnsi="Arial" w:cs="Arial"/>
          <w:sz w:val="22"/>
          <w:szCs w:val="22"/>
        </w:rPr>
        <w:t>Crime Reference Committee (the Committee).</w:t>
      </w:r>
    </w:p>
    <w:p w14:paraId="46129C52" w14:textId="77777777" w:rsidR="00C10884" w:rsidRPr="00084C80" w:rsidRDefault="00C10884" w:rsidP="00C10884">
      <w:pPr>
        <w:pStyle w:val="StyleJustified"/>
        <w:numPr>
          <w:ilvl w:val="0"/>
          <w:numId w:val="4"/>
        </w:numPr>
        <w:tabs>
          <w:tab w:val="num" w:pos="564"/>
        </w:tabs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>Section 275 of the Act states that the Committee has the following functions:</w:t>
      </w:r>
    </w:p>
    <w:p w14:paraId="5303D087" w14:textId="42573BF8" w:rsidR="00C10884" w:rsidRPr="00084C80" w:rsidRDefault="00C10884" w:rsidP="00084C80">
      <w:pPr>
        <w:pStyle w:val="StyleJustified"/>
        <w:numPr>
          <w:ilvl w:val="0"/>
          <w:numId w:val="0"/>
        </w:num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 xml:space="preserve">(a) </w:t>
      </w:r>
      <w:r w:rsidRPr="00084C80">
        <w:rPr>
          <w:rFonts w:ascii="Arial" w:hAnsi="Arial" w:cs="Arial"/>
          <w:sz w:val="22"/>
          <w:szCs w:val="22"/>
        </w:rPr>
        <w:tab/>
        <w:t>to refer, as provided under chapter 2, part 2, division 2, major crime to the commission for investigation;</w:t>
      </w:r>
    </w:p>
    <w:p w14:paraId="5463A39B" w14:textId="30A4ECBD" w:rsidR="00C10884" w:rsidRPr="00084C80" w:rsidRDefault="00C10884" w:rsidP="00084C80">
      <w:pPr>
        <w:pStyle w:val="StyleJustified"/>
        <w:numPr>
          <w:ilvl w:val="0"/>
          <w:numId w:val="0"/>
        </w:num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 xml:space="preserve">(b) </w:t>
      </w:r>
      <w:r w:rsidRPr="00084C80">
        <w:rPr>
          <w:rFonts w:ascii="Arial" w:hAnsi="Arial" w:cs="Arial"/>
          <w:sz w:val="22"/>
          <w:szCs w:val="22"/>
        </w:rPr>
        <w:tab/>
        <w:t>to authorise the commission, as provided under chapter 2, part 4, division 2A, to undertake specific intelligence operations;</w:t>
      </w:r>
    </w:p>
    <w:p w14:paraId="0D8865FA" w14:textId="77777777" w:rsidR="00C10884" w:rsidRPr="00084C80" w:rsidRDefault="00C10884" w:rsidP="00084C80">
      <w:pPr>
        <w:pStyle w:val="StyleJustified"/>
        <w:numPr>
          <w:ilvl w:val="0"/>
          <w:numId w:val="0"/>
        </w:num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>(c)</w:t>
      </w:r>
      <w:r w:rsidRPr="00084C80">
        <w:rPr>
          <w:rFonts w:ascii="Arial" w:hAnsi="Arial" w:cs="Arial"/>
          <w:sz w:val="22"/>
          <w:szCs w:val="22"/>
        </w:rPr>
        <w:tab/>
        <w:t>to review general referrals under section 30A;</w:t>
      </w:r>
      <w:r w:rsidR="003E7434" w:rsidRPr="00084C80">
        <w:rPr>
          <w:rFonts w:ascii="Arial" w:hAnsi="Arial" w:cs="Arial"/>
          <w:sz w:val="22"/>
          <w:szCs w:val="22"/>
        </w:rPr>
        <w:t xml:space="preserve"> and</w:t>
      </w:r>
    </w:p>
    <w:p w14:paraId="44BCD42E" w14:textId="6ADCEC5D" w:rsidR="00C10884" w:rsidRPr="00084C80" w:rsidRDefault="00C10884" w:rsidP="00084C80">
      <w:pPr>
        <w:pStyle w:val="StyleJustified"/>
        <w:numPr>
          <w:ilvl w:val="0"/>
          <w:numId w:val="0"/>
        </w:num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 xml:space="preserve">(d) </w:t>
      </w:r>
      <w:r w:rsidRPr="00084C80">
        <w:rPr>
          <w:rFonts w:ascii="Arial" w:hAnsi="Arial" w:cs="Arial"/>
          <w:sz w:val="22"/>
          <w:szCs w:val="22"/>
        </w:rPr>
        <w:tab/>
        <w:t>to coordinate, to the extent the committee considers appropriate, investigations into major crime conducted by the commission in cooperation with a police task force or another entity.</w:t>
      </w:r>
    </w:p>
    <w:p w14:paraId="1B24B092" w14:textId="77777777" w:rsidR="00F37622" w:rsidRPr="00084C80" w:rsidRDefault="00F37622" w:rsidP="005B17B8">
      <w:pPr>
        <w:keepLines/>
        <w:numPr>
          <w:ilvl w:val="0"/>
          <w:numId w:val="4"/>
        </w:numPr>
        <w:tabs>
          <w:tab w:val="num" w:pos="984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>Section 278(1)(</w:t>
      </w:r>
      <w:r w:rsidR="0042698B" w:rsidRPr="00084C80">
        <w:rPr>
          <w:rFonts w:ascii="Arial" w:hAnsi="Arial" w:cs="Arial"/>
          <w:sz w:val="22"/>
          <w:szCs w:val="22"/>
        </w:rPr>
        <w:t>f</w:t>
      </w:r>
      <w:r w:rsidRPr="00084C80">
        <w:rPr>
          <w:rFonts w:ascii="Arial" w:hAnsi="Arial" w:cs="Arial"/>
          <w:sz w:val="22"/>
          <w:szCs w:val="22"/>
        </w:rPr>
        <w:t>) of the Act provides that two persons are to be appointed to the Committee by Governor in Council as community representatives, of whom one at least must have a demonstrated interest in civil liberties and one at least must be female.</w:t>
      </w:r>
    </w:p>
    <w:p w14:paraId="69968BEE" w14:textId="77777777" w:rsidR="005B17B8" w:rsidRPr="00084C80" w:rsidRDefault="004201E2" w:rsidP="005B17B8">
      <w:pPr>
        <w:keepLines/>
        <w:numPr>
          <w:ilvl w:val="0"/>
          <w:numId w:val="4"/>
        </w:numPr>
        <w:tabs>
          <w:tab w:val="num" w:pos="984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>E</w:t>
      </w:r>
      <w:r w:rsidR="00F37622" w:rsidRPr="00084C80">
        <w:rPr>
          <w:rFonts w:ascii="Arial" w:hAnsi="Arial" w:cs="Arial"/>
          <w:sz w:val="22"/>
          <w:szCs w:val="22"/>
        </w:rPr>
        <w:t>xpressions of interest</w:t>
      </w:r>
      <w:r w:rsidR="00947854" w:rsidRPr="00084C80">
        <w:rPr>
          <w:rFonts w:ascii="Arial" w:hAnsi="Arial" w:cs="Arial"/>
          <w:sz w:val="22"/>
          <w:szCs w:val="22"/>
        </w:rPr>
        <w:t xml:space="preserve"> </w:t>
      </w:r>
      <w:r w:rsidRPr="00084C80">
        <w:rPr>
          <w:rFonts w:ascii="Arial" w:hAnsi="Arial" w:cs="Arial"/>
          <w:sz w:val="22"/>
          <w:szCs w:val="22"/>
        </w:rPr>
        <w:t xml:space="preserve">were advertised </w:t>
      </w:r>
      <w:r w:rsidR="00947854" w:rsidRPr="00084C80">
        <w:rPr>
          <w:rFonts w:ascii="Arial" w:hAnsi="Arial" w:cs="Arial"/>
          <w:sz w:val="22"/>
          <w:szCs w:val="22"/>
        </w:rPr>
        <w:t xml:space="preserve">in </w:t>
      </w:r>
      <w:r w:rsidR="00947854" w:rsidRPr="00084C80">
        <w:rPr>
          <w:rFonts w:ascii="Arial" w:hAnsi="Arial" w:cs="Arial"/>
          <w:i/>
          <w:sz w:val="22"/>
          <w:szCs w:val="22"/>
        </w:rPr>
        <w:t>The Courier Mail</w:t>
      </w:r>
      <w:r w:rsidR="00947854" w:rsidRPr="00084C80">
        <w:rPr>
          <w:rFonts w:ascii="Arial" w:hAnsi="Arial" w:cs="Arial"/>
          <w:sz w:val="22"/>
          <w:szCs w:val="22"/>
        </w:rPr>
        <w:t xml:space="preserve"> and </w:t>
      </w:r>
      <w:r w:rsidR="00947854" w:rsidRPr="00084C80">
        <w:rPr>
          <w:rFonts w:ascii="Arial" w:hAnsi="Arial" w:cs="Arial"/>
          <w:i/>
          <w:sz w:val="22"/>
          <w:szCs w:val="22"/>
        </w:rPr>
        <w:t>The</w:t>
      </w:r>
      <w:r w:rsidR="00947854" w:rsidRPr="00084C80">
        <w:rPr>
          <w:rFonts w:ascii="Arial" w:hAnsi="Arial" w:cs="Arial"/>
          <w:sz w:val="22"/>
          <w:szCs w:val="22"/>
        </w:rPr>
        <w:t xml:space="preserve"> </w:t>
      </w:r>
      <w:r w:rsidR="00947854" w:rsidRPr="00084C80">
        <w:rPr>
          <w:rFonts w:ascii="Arial" w:hAnsi="Arial" w:cs="Arial"/>
          <w:i/>
          <w:sz w:val="22"/>
          <w:szCs w:val="22"/>
        </w:rPr>
        <w:t>Weekend Australian</w:t>
      </w:r>
      <w:r w:rsidRPr="00084C80">
        <w:rPr>
          <w:rFonts w:ascii="Arial" w:hAnsi="Arial" w:cs="Arial"/>
          <w:sz w:val="22"/>
          <w:szCs w:val="22"/>
        </w:rPr>
        <w:t>.</w:t>
      </w:r>
      <w:r w:rsidR="00F37622" w:rsidRPr="00084C80">
        <w:rPr>
          <w:rFonts w:ascii="Arial" w:hAnsi="Arial" w:cs="Arial"/>
          <w:sz w:val="22"/>
          <w:szCs w:val="22"/>
        </w:rPr>
        <w:t xml:space="preserve"> </w:t>
      </w:r>
    </w:p>
    <w:p w14:paraId="4F8320D2" w14:textId="77777777" w:rsidR="003C44BF" w:rsidRPr="00084C80" w:rsidRDefault="003C44BF" w:rsidP="003C44BF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  <w:u w:val="single"/>
        </w:rPr>
        <w:t>Cabinet endorsed</w:t>
      </w:r>
      <w:r w:rsidRPr="00084C80">
        <w:rPr>
          <w:rFonts w:ascii="Arial" w:hAnsi="Arial" w:cs="Arial"/>
          <w:sz w:val="22"/>
          <w:szCs w:val="22"/>
        </w:rPr>
        <w:t xml:space="preserve"> that </w:t>
      </w:r>
      <w:r w:rsidR="008744F3" w:rsidRPr="00084C80">
        <w:rPr>
          <w:rFonts w:ascii="Arial" w:hAnsi="Arial" w:cs="Arial"/>
          <w:sz w:val="22"/>
          <w:szCs w:val="22"/>
        </w:rPr>
        <w:t xml:space="preserve">Ms </w:t>
      </w:r>
      <w:r w:rsidR="00644741" w:rsidRPr="00084C80">
        <w:rPr>
          <w:rFonts w:ascii="Arial" w:hAnsi="Arial" w:cs="Arial"/>
          <w:sz w:val="22"/>
          <w:szCs w:val="22"/>
        </w:rPr>
        <w:t xml:space="preserve">Alison </w:t>
      </w:r>
      <w:r w:rsidR="00B10C21" w:rsidRPr="00084C80">
        <w:rPr>
          <w:rFonts w:ascii="Arial" w:hAnsi="Arial" w:cs="Arial"/>
          <w:sz w:val="22"/>
          <w:szCs w:val="22"/>
        </w:rPr>
        <w:t>de Jersey</w:t>
      </w:r>
      <w:r w:rsidR="008744F3" w:rsidRPr="00084C80">
        <w:rPr>
          <w:rFonts w:ascii="Arial" w:hAnsi="Arial" w:cs="Arial"/>
          <w:sz w:val="22"/>
          <w:szCs w:val="22"/>
        </w:rPr>
        <w:t xml:space="preserve"> </w:t>
      </w:r>
      <w:r w:rsidR="00C10884" w:rsidRPr="00084C80">
        <w:rPr>
          <w:rFonts w:ascii="Arial" w:hAnsi="Arial" w:cs="Arial"/>
          <w:sz w:val="22"/>
          <w:szCs w:val="22"/>
        </w:rPr>
        <w:t xml:space="preserve">and </w:t>
      </w:r>
      <w:r w:rsidR="007464EB" w:rsidRPr="00084C80">
        <w:rPr>
          <w:rFonts w:ascii="Arial" w:hAnsi="Arial" w:cs="Arial"/>
          <w:sz w:val="22"/>
          <w:szCs w:val="22"/>
        </w:rPr>
        <w:t xml:space="preserve">Mr </w:t>
      </w:r>
      <w:r w:rsidR="00644741" w:rsidRPr="00084C80">
        <w:rPr>
          <w:rFonts w:ascii="Arial" w:hAnsi="Arial" w:cs="Arial"/>
          <w:sz w:val="22"/>
          <w:szCs w:val="22"/>
        </w:rPr>
        <w:t xml:space="preserve">John </w:t>
      </w:r>
      <w:r w:rsidR="007464EB" w:rsidRPr="00084C80">
        <w:rPr>
          <w:rFonts w:ascii="Arial" w:hAnsi="Arial" w:cs="Arial"/>
          <w:sz w:val="22"/>
          <w:szCs w:val="22"/>
        </w:rPr>
        <w:t xml:space="preserve">Anderson </w:t>
      </w:r>
      <w:r w:rsidRPr="00084C80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C10884" w:rsidRPr="00084C80">
        <w:rPr>
          <w:rFonts w:ascii="Arial" w:hAnsi="Arial" w:cs="Arial"/>
          <w:sz w:val="22"/>
          <w:szCs w:val="22"/>
        </w:rPr>
        <w:t xml:space="preserve">as part-time community representatives to the </w:t>
      </w:r>
      <w:r w:rsidR="006F1B7E" w:rsidRPr="00084C80">
        <w:rPr>
          <w:rFonts w:ascii="Arial" w:hAnsi="Arial" w:cs="Arial"/>
          <w:sz w:val="22"/>
          <w:szCs w:val="22"/>
        </w:rPr>
        <w:t xml:space="preserve">Crime Reference </w:t>
      </w:r>
      <w:r w:rsidR="00C10884" w:rsidRPr="00084C80">
        <w:rPr>
          <w:rFonts w:ascii="Arial" w:hAnsi="Arial" w:cs="Arial"/>
          <w:sz w:val="22"/>
          <w:szCs w:val="22"/>
        </w:rPr>
        <w:t xml:space="preserve">Committee for a term of three years commencing from the day </w:t>
      </w:r>
      <w:r w:rsidR="00D469E3" w:rsidRPr="00084C80">
        <w:rPr>
          <w:rFonts w:ascii="Arial" w:hAnsi="Arial" w:cs="Arial"/>
          <w:sz w:val="22"/>
          <w:szCs w:val="22"/>
        </w:rPr>
        <w:t>following</w:t>
      </w:r>
      <w:r w:rsidR="00C10884" w:rsidRPr="00084C80">
        <w:rPr>
          <w:rFonts w:ascii="Arial" w:hAnsi="Arial" w:cs="Arial"/>
          <w:sz w:val="22"/>
          <w:szCs w:val="22"/>
        </w:rPr>
        <w:t xml:space="preserve"> Governor in Council approval</w:t>
      </w:r>
      <w:r w:rsidR="00254454" w:rsidRPr="00084C80">
        <w:rPr>
          <w:rFonts w:ascii="Arial" w:hAnsi="Arial" w:cs="Arial"/>
          <w:sz w:val="22"/>
          <w:szCs w:val="22"/>
        </w:rPr>
        <w:t>.</w:t>
      </w:r>
      <w:r w:rsidRPr="00084C80">
        <w:rPr>
          <w:rFonts w:ascii="Arial" w:hAnsi="Arial" w:cs="Arial"/>
          <w:sz w:val="22"/>
          <w:szCs w:val="22"/>
        </w:rPr>
        <w:t xml:space="preserve"> </w:t>
      </w:r>
    </w:p>
    <w:p w14:paraId="748EFFB0" w14:textId="5AB89C7B" w:rsidR="00327948" w:rsidRPr="00084C80" w:rsidRDefault="00327948" w:rsidP="00084C80">
      <w:pPr>
        <w:keepLines/>
        <w:numPr>
          <w:ilvl w:val="0"/>
          <w:numId w:val="4"/>
        </w:numPr>
        <w:tabs>
          <w:tab w:val="num" w:pos="984"/>
        </w:tabs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84C8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084C80" w:rsidRPr="00084C80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14:paraId="3C4C52D1" w14:textId="6473B690" w:rsidR="00094025" w:rsidRPr="00084C80" w:rsidRDefault="00327948" w:rsidP="00084C80">
      <w:pPr>
        <w:keepLines/>
        <w:numPr>
          <w:ilvl w:val="0"/>
          <w:numId w:val="15"/>
        </w:numPr>
        <w:spacing w:before="120"/>
        <w:ind w:hanging="654"/>
        <w:jc w:val="both"/>
        <w:rPr>
          <w:rFonts w:ascii="Arial" w:hAnsi="Arial" w:cs="Arial"/>
          <w:sz w:val="22"/>
          <w:szCs w:val="22"/>
        </w:rPr>
      </w:pPr>
      <w:r w:rsidRPr="00084C80">
        <w:rPr>
          <w:rFonts w:ascii="Arial" w:hAnsi="Arial" w:cs="Arial"/>
          <w:sz w:val="22"/>
          <w:szCs w:val="22"/>
        </w:rPr>
        <w:t>Nil</w:t>
      </w:r>
      <w:r w:rsidR="007C0A3C" w:rsidRPr="00084C80">
        <w:rPr>
          <w:rFonts w:ascii="Arial" w:hAnsi="Arial" w:cs="Arial"/>
          <w:sz w:val="22"/>
          <w:szCs w:val="22"/>
        </w:rPr>
        <w:t>.</w:t>
      </w:r>
    </w:p>
    <w:sectPr w:rsidR="00094025" w:rsidRPr="00084C80" w:rsidSect="007C0A3C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12B1" w14:textId="77777777" w:rsidR="00E30042" w:rsidRDefault="00E30042" w:rsidP="00D6589B">
      <w:r>
        <w:separator/>
      </w:r>
    </w:p>
  </w:endnote>
  <w:endnote w:type="continuationSeparator" w:id="0">
    <w:p w14:paraId="2575B3FC" w14:textId="77777777" w:rsidR="00E30042" w:rsidRDefault="00E3004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E998" w14:textId="77777777" w:rsidR="00E30042" w:rsidRDefault="00E30042" w:rsidP="00D6589B">
      <w:r>
        <w:separator/>
      </w:r>
    </w:p>
  </w:footnote>
  <w:footnote w:type="continuationSeparator" w:id="0">
    <w:p w14:paraId="1D567CD8" w14:textId="77777777" w:rsidR="00E30042" w:rsidRDefault="00E3004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B9A9" w14:textId="77777777" w:rsidR="007C0A3C" w:rsidRPr="00937A4A" w:rsidRDefault="007C0A3C" w:rsidP="007C0A3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06E8DEB" w14:textId="77777777" w:rsidR="007C0A3C" w:rsidRPr="00937A4A" w:rsidRDefault="007C0A3C" w:rsidP="007C0A3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C473E39" w14:textId="34765150" w:rsidR="007C0A3C" w:rsidRPr="00937A4A" w:rsidRDefault="007C0A3C" w:rsidP="007C0A3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2018</w:t>
    </w:r>
  </w:p>
  <w:p w14:paraId="1FBC7626" w14:textId="77777777" w:rsidR="00D469E3" w:rsidRDefault="00D469E3" w:rsidP="00084C80">
    <w:pPr>
      <w:keepLines/>
      <w:spacing w:before="120"/>
      <w:rPr>
        <w:rFonts w:ascii="Arial" w:hAnsi="Arial" w:cs="Arial"/>
        <w:b/>
        <w:sz w:val="22"/>
        <w:szCs w:val="22"/>
        <w:u w:val="single"/>
      </w:rPr>
    </w:pPr>
    <w:r w:rsidRPr="00D469E3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0B253E">
      <w:rPr>
        <w:rFonts w:ascii="Arial" w:hAnsi="Arial" w:cs="Arial"/>
        <w:b/>
        <w:sz w:val="22"/>
        <w:szCs w:val="22"/>
        <w:u w:val="single"/>
      </w:rPr>
      <w:t>t</w:t>
    </w:r>
    <w:r w:rsidRPr="00D469E3">
      <w:rPr>
        <w:rFonts w:ascii="Arial" w:hAnsi="Arial" w:cs="Arial"/>
        <w:b/>
        <w:sz w:val="22"/>
        <w:szCs w:val="22"/>
        <w:u w:val="single"/>
      </w:rPr>
      <w:t xml:space="preserve">wo </w:t>
    </w:r>
    <w:r w:rsidR="000B253E">
      <w:rPr>
        <w:rFonts w:ascii="Arial" w:hAnsi="Arial" w:cs="Arial"/>
        <w:b/>
        <w:sz w:val="22"/>
        <w:szCs w:val="22"/>
        <w:u w:val="single"/>
      </w:rPr>
      <w:t>p</w:t>
    </w:r>
    <w:r w:rsidRPr="00D469E3">
      <w:rPr>
        <w:rFonts w:ascii="Arial" w:hAnsi="Arial" w:cs="Arial"/>
        <w:b/>
        <w:sz w:val="22"/>
        <w:szCs w:val="22"/>
        <w:u w:val="single"/>
      </w:rPr>
      <w:t>art-</w:t>
    </w:r>
    <w:r w:rsidR="000B253E">
      <w:rPr>
        <w:rFonts w:ascii="Arial" w:hAnsi="Arial" w:cs="Arial"/>
        <w:b/>
        <w:sz w:val="22"/>
        <w:szCs w:val="22"/>
        <w:u w:val="single"/>
      </w:rPr>
      <w:t>t</w:t>
    </w:r>
    <w:r w:rsidRPr="00D469E3">
      <w:rPr>
        <w:rFonts w:ascii="Arial" w:hAnsi="Arial" w:cs="Arial"/>
        <w:b/>
        <w:sz w:val="22"/>
        <w:szCs w:val="22"/>
        <w:u w:val="single"/>
      </w:rPr>
      <w:t xml:space="preserve">ime </w:t>
    </w:r>
    <w:r w:rsidR="004201E2">
      <w:rPr>
        <w:rFonts w:ascii="Arial" w:hAnsi="Arial" w:cs="Arial"/>
        <w:b/>
        <w:sz w:val="22"/>
        <w:szCs w:val="22"/>
        <w:u w:val="single"/>
      </w:rPr>
      <w:t>C</w:t>
    </w:r>
    <w:r w:rsidRPr="00D469E3">
      <w:rPr>
        <w:rFonts w:ascii="Arial" w:hAnsi="Arial" w:cs="Arial"/>
        <w:b/>
        <w:sz w:val="22"/>
        <w:szCs w:val="22"/>
        <w:u w:val="single"/>
      </w:rPr>
      <w:t xml:space="preserve">ommunity </w:t>
    </w:r>
    <w:r w:rsidR="004201E2">
      <w:rPr>
        <w:rFonts w:ascii="Arial" w:hAnsi="Arial" w:cs="Arial"/>
        <w:b/>
        <w:sz w:val="22"/>
        <w:szCs w:val="22"/>
        <w:u w:val="single"/>
      </w:rPr>
      <w:t>R</w:t>
    </w:r>
    <w:r w:rsidRPr="00D469E3">
      <w:rPr>
        <w:rFonts w:ascii="Arial" w:hAnsi="Arial" w:cs="Arial"/>
        <w:b/>
        <w:sz w:val="22"/>
        <w:szCs w:val="22"/>
        <w:u w:val="single"/>
      </w:rPr>
      <w:t>epresentatives to the Crime Reference Committee</w:t>
    </w:r>
  </w:p>
  <w:p w14:paraId="1C0D5F75" w14:textId="77777777" w:rsidR="005E4CCF" w:rsidRDefault="00D469E3" w:rsidP="009C6761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B10C21">
      <w:rPr>
        <w:rFonts w:ascii="Arial" w:hAnsi="Arial" w:cs="Arial"/>
        <w:b/>
        <w:sz w:val="22"/>
        <w:szCs w:val="22"/>
        <w:u w:val="single"/>
      </w:rPr>
      <w:t xml:space="preserve">Attorney-General </w:t>
    </w:r>
    <w:r w:rsidRPr="00644741">
      <w:rPr>
        <w:rFonts w:ascii="Arial" w:hAnsi="Arial" w:cs="Arial"/>
        <w:b/>
        <w:sz w:val="22"/>
        <w:szCs w:val="22"/>
        <w:u w:val="single"/>
      </w:rPr>
      <w:t>and Minister for Justice</w:t>
    </w:r>
    <w:r w:rsidR="00417C63" w:rsidRPr="00644741">
      <w:rPr>
        <w:rFonts w:ascii="Arial" w:hAnsi="Arial" w:cs="Arial"/>
        <w:b/>
        <w:sz w:val="22"/>
        <w:szCs w:val="22"/>
        <w:u w:val="single"/>
      </w:rPr>
      <w:t xml:space="preserve"> and Leader of the House </w:t>
    </w:r>
  </w:p>
  <w:p w14:paraId="4813C234" w14:textId="77777777" w:rsidR="006949DD" w:rsidRPr="00084C80" w:rsidRDefault="006949DD" w:rsidP="00644741">
    <w:pPr>
      <w:keepLines/>
      <w:pBdr>
        <w:bottom w:val="single" w:sz="4" w:space="1" w:color="auto"/>
      </w:pBdr>
      <w:jc w:val="both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5C380916"/>
    <w:multiLevelType w:val="hybridMultilevel"/>
    <w:tmpl w:val="E5D0E358"/>
    <w:lvl w:ilvl="0" w:tplc="3B2EB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D1096"/>
    <w:multiLevelType w:val="hybridMultilevel"/>
    <w:tmpl w:val="0372A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454"/>
          </w:tabs>
          <w:ind w:left="454" w:hanging="454"/>
        </w:pPr>
        <w:rPr>
          <w:rFonts w:ascii="Arial" w:hAnsi="Arial" w:cs="Arial" w:hint="default"/>
          <w:b w:val="0"/>
          <w:spacing w:val="20"/>
          <w:position w:val="0"/>
          <w:sz w:val="23"/>
          <w:szCs w:val="23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361"/>
          </w:tabs>
          <w:ind w:left="1361" w:hanging="454"/>
        </w:pPr>
        <w:rPr>
          <w:rFonts w:hint="default"/>
        </w:rPr>
      </w:lvl>
    </w:lvlOverride>
    <w:lvlOverride w:ilvl="3">
      <w:lvl w:ilvl="3">
        <w:start w:val="1"/>
        <w:numFmt w:val="bullet"/>
        <w:pStyle w:val="Cabinet4text"/>
        <w:lvlText w:val=""/>
        <w:lvlJc w:val="left"/>
        <w:pPr>
          <w:tabs>
            <w:tab w:val="num" w:pos="1814"/>
          </w:tabs>
          <w:ind w:left="1814" w:hanging="453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268"/>
          </w:tabs>
          <w:ind w:left="2268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1BCC"/>
    <w:rsid w:val="0000598A"/>
    <w:rsid w:val="00007F5C"/>
    <w:rsid w:val="00020EC0"/>
    <w:rsid w:val="00035DDF"/>
    <w:rsid w:val="00046549"/>
    <w:rsid w:val="00080F8F"/>
    <w:rsid w:val="00084C80"/>
    <w:rsid w:val="00085C69"/>
    <w:rsid w:val="00091631"/>
    <w:rsid w:val="000934C8"/>
    <w:rsid w:val="00094025"/>
    <w:rsid w:val="000B253E"/>
    <w:rsid w:val="000C17E3"/>
    <w:rsid w:val="000C6549"/>
    <w:rsid w:val="000E031C"/>
    <w:rsid w:val="000F36EA"/>
    <w:rsid w:val="00113C51"/>
    <w:rsid w:val="00153879"/>
    <w:rsid w:val="001A06C0"/>
    <w:rsid w:val="001E209B"/>
    <w:rsid w:val="00230874"/>
    <w:rsid w:val="00251D18"/>
    <w:rsid w:val="00254454"/>
    <w:rsid w:val="00263C01"/>
    <w:rsid w:val="00273291"/>
    <w:rsid w:val="002B60B6"/>
    <w:rsid w:val="002D2E28"/>
    <w:rsid w:val="002D644B"/>
    <w:rsid w:val="00305A32"/>
    <w:rsid w:val="00327948"/>
    <w:rsid w:val="003B098D"/>
    <w:rsid w:val="003C44BF"/>
    <w:rsid w:val="003D0934"/>
    <w:rsid w:val="003E143F"/>
    <w:rsid w:val="003E7434"/>
    <w:rsid w:val="00402916"/>
    <w:rsid w:val="00417C63"/>
    <w:rsid w:val="004201E2"/>
    <w:rsid w:val="0042698B"/>
    <w:rsid w:val="00451295"/>
    <w:rsid w:val="00480DB3"/>
    <w:rsid w:val="004A0D17"/>
    <w:rsid w:val="004D6CFD"/>
    <w:rsid w:val="004E2C1D"/>
    <w:rsid w:val="00501C66"/>
    <w:rsid w:val="005261E8"/>
    <w:rsid w:val="005430C8"/>
    <w:rsid w:val="00586C99"/>
    <w:rsid w:val="00596FF4"/>
    <w:rsid w:val="005B17B8"/>
    <w:rsid w:val="005B1F12"/>
    <w:rsid w:val="005E4CCF"/>
    <w:rsid w:val="0060098B"/>
    <w:rsid w:val="00606FCC"/>
    <w:rsid w:val="006142DC"/>
    <w:rsid w:val="00644741"/>
    <w:rsid w:val="006462CE"/>
    <w:rsid w:val="00663A4B"/>
    <w:rsid w:val="006949DD"/>
    <w:rsid w:val="006C10CD"/>
    <w:rsid w:val="006D4F16"/>
    <w:rsid w:val="006F1B7E"/>
    <w:rsid w:val="006F486B"/>
    <w:rsid w:val="00707F09"/>
    <w:rsid w:val="00723E6E"/>
    <w:rsid w:val="00732E22"/>
    <w:rsid w:val="007464EB"/>
    <w:rsid w:val="00762359"/>
    <w:rsid w:val="00766FC7"/>
    <w:rsid w:val="007C0A3C"/>
    <w:rsid w:val="007D5E26"/>
    <w:rsid w:val="007D6FCA"/>
    <w:rsid w:val="007F71B2"/>
    <w:rsid w:val="008020A3"/>
    <w:rsid w:val="008240C1"/>
    <w:rsid w:val="00865D04"/>
    <w:rsid w:val="008744F3"/>
    <w:rsid w:val="00896689"/>
    <w:rsid w:val="008A67D3"/>
    <w:rsid w:val="008B0445"/>
    <w:rsid w:val="008B43C4"/>
    <w:rsid w:val="008B6D04"/>
    <w:rsid w:val="008B7DE8"/>
    <w:rsid w:val="008C495A"/>
    <w:rsid w:val="008F44CD"/>
    <w:rsid w:val="0091737C"/>
    <w:rsid w:val="00947854"/>
    <w:rsid w:val="009868CB"/>
    <w:rsid w:val="009B57F4"/>
    <w:rsid w:val="009C6761"/>
    <w:rsid w:val="00A203D0"/>
    <w:rsid w:val="00A21BB3"/>
    <w:rsid w:val="00A442C9"/>
    <w:rsid w:val="00A527A5"/>
    <w:rsid w:val="00A562AA"/>
    <w:rsid w:val="00AB262C"/>
    <w:rsid w:val="00B10C21"/>
    <w:rsid w:val="00B171C8"/>
    <w:rsid w:val="00B26C3E"/>
    <w:rsid w:val="00B274DA"/>
    <w:rsid w:val="00B66527"/>
    <w:rsid w:val="00B779FC"/>
    <w:rsid w:val="00B976C5"/>
    <w:rsid w:val="00BB1845"/>
    <w:rsid w:val="00BD26DA"/>
    <w:rsid w:val="00C07656"/>
    <w:rsid w:val="00C10884"/>
    <w:rsid w:val="00C154BF"/>
    <w:rsid w:val="00C47E41"/>
    <w:rsid w:val="00C828D7"/>
    <w:rsid w:val="00C915E2"/>
    <w:rsid w:val="00CB5479"/>
    <w:rsid w:val="00CD058C"/>
    <w:rsid w:val="00CF0D8A"/>
    <w:rsid w:val="00D144FA"/>
    <w:rsid w:val="00D25C19"/>
    <w:rsid w:val="00D26836"/>
    <w:rsid w:val="00D433E5"/>
    <w:rsid w:val="00D469E3"/>
    <w:rsid w:val="00D6589B"/>
    <w:rsid w:val="00D75134"/>
    <w:rsid w:val="00DC70D7"/>
    <w:rsid w:val="00E2651A"/>
    <w:rsid w:val="00E30042"/>
    <w:rsid w:val="00E72611"/>
    <w:rsid w:val="00E96C2E"/>
    <w:rsid w:val="00EC5418"/>
    <w:rsid w:val="00F37622"/>
    <w:rsid w:val="00F431CE"/>
    <w:rsid w:val="00F86102"/>
    <w:rsid w:val="00FC64EF"/>
    <w:rsid w:val="00FD37C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2E6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numbering" w:customStyle="1" w:styleId="cabinet">
    <w:name w:val="cabinet"/>
    <w:rsid w:val="00C10884"/>
    <w:pPr>
      <w:numPr>
        <w:numId w:val="10"/>
      </w:numPr>
    </w:pPr>
  </w:style>
  <w:style w:type="paragraph" w:customStyle="1" w:styleId="Cabinet2text">
    <w:name w:val="Cabinet 2 text"/>
    <w:basedOn w:val="Normal"/>
    <w:rsid w:val="00C10884"/>
    <w:pPr>
      <w:numPr>
        <w:ilvl w:val="1"/>
        <w:numId w:val="10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10884"/>
    <w:pPr>
      <w:numPr>
        <w:ilvl w:val="2"/>
      </w:numPr>
    </w:pPr>
  </w:style>
  <w:style w:type="paragraph" w:customStyle="1" w:styleId="Cabinet4text">
    <w:name w:val="Cabinet 4 text"/>
    <w:basedOn w:val="Cabinet2text"/>
    <w:rsid w:val="00C10884"/>
    <w:pPr>
      <w:numPr>
        <w:ilvl w:val="3"/>
      </w:numPr>
    </w:pPr>
  </w:style>
  <w:style w:type="paragraph" w:customStyle="1" w:styleId="cabinet5text">
    <w:name w:val="cabinet 5 text"/>
    <w:basedOn w:val="Cabinet2text"/>
    <w:rsid w:val="00C10884"/>
    <w:pPr>
      <w:numPr>
        <w:ilvl w:val="4"/>
      </w:numPr>
    </w:pPr>
  </w:style>
  <w:style w:type="paragraph" w:customStyle="1" w:styleId="StyleJustified">
    <w:name w:val="Style Justified"/>
    <w:basedOn w:val="Normal"/>
    <w:rsid w:val="00C10884"/>
    <w:pPr>
      <w:numPr>
        <w:numId w:val="10"/>
      </w:numPr>
      <w:spacing w:before="240"/>
      <w:jc w:val="both"/>
    </w:pPr>
    <w:rPr>
      <w:rFonts w:eastAsia="Times New Roman"/>
      <w:color w:val="auto"/>
    </w:rPr>
  </w:style>
  <w:style w:type="character" w:styleId="CommentReference">
    <w:name w:val="annotation reference"/>
    <w:rsid w:val="00420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1E2"/>
    <w:rPr>
      <w:sz w:val="20"/>
    </w:rPr>
  </w:style>
  <w:style w:type="character" w:customStyle="1" w:styleId="CommentTextChar">
    <w:name w:val="Comment Text Char"/>
    <w:link w:val="CommentText"/>
    <w:rsid w:val="004201E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01E2"/>
    <w:rPr>
      <w:b/>
      <w:bCs/>
    </w:rPr>
  </w:style>
  <w:style w:type="character" w:customStyle="1" w:styleId="CommentSubjectChar">
    <w:name w:val="Comment Subject Char"/>
    <w:link w:val="CommentSubject"/>
    <w:rsid w:val="004201E2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1124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1332</CharactersWithSpaces>
  <SharedDoc>false</SharedDoc>
  <HyperlinkBase>https://www.cabinet.qld.gov.au/documents/2018/Jun/ApptCRC/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5</cp:revision>
  <cp:lastPrinted>2018-12-03T02:38:00Z</cp:lastPrinted>
  <dcterms:created xsi:type="dcterms:W3CDTF">2019-05-30T02:28:00Z</dcterms:created>
  <dcterms:modified xsi:type="dcterms:W3CDTF">2019-12-11T09:12:00Z</dcterms:modified>
  <cp:category>Significant_Appointments,Crime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